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Обзор изменений </w:t>
      </w:r>
      <w:r>
        <w:rPr>
          <w:b/>
          <w:bCs/>
          <w:sz w:val="28"/>
          <w:szCs w:val="28"/>
        </w:rPr>
        <w:t>в постановление № 172-пп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665" w:type="dxa"/>
        <w:jc w:val="left"/>
        <w:tblInd w:w="-28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05"/>
        <w:gridCol w:w="225"/>
        <w:gridCol w:w="4935"/>
      </w:tblGrid>
      <w:tr>
        <w:trPr/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величина прожиточного минимума, используемая при определении </w:t>
            </w:r>
          </w:p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среднедушевого дохода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заявителя (семьи заявителя)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величина прожиточного минимума, рассчитанная с  </w:t>
            </w: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 учетом основных социально-демографических групп населения</w:t>
            </w: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 </w:t>
            </w:r>
            <w:r>
              <w:rPr>
                <w:b w:val="false"/>
                <w:i/>
                <w:iCs/>
                <w:strike w:val="false"/>
                <w:dstrike w:val="false"/>
                <w:sz w:val="20"/>
                <w:szCs w:val="20"/>
                <w:u w:val="none"/>
              </w:rPr>
              <w:t>(была разная у семей)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величина прожиточного минимума </w:t>
            </w:r>
            <w:r>
              <w:rPr>
                <w:color w:val="FF4000"/>
                <w:sz w:val="20"/>
                <w:szCs w:val="20"/>
                <w:u w:val="single"/>
              </w:rPr>
              <w:t>на душу</w:t>
            </w:r>
            <w:r>
              <w:rPr>
                <w:sz w:val="20"/>
                <w:szCs w:val="20"/>
              </w:rPr>
              <w:t xml:space="preserve"> населения  (</w:t>
            </w:r>
            <w:r>
              <w:rPr>
                <w:sz w:val="20"/>
                <w:szCs w:val="20"/>
              </w:rPr>
              <w:t xml:space="preserve">будет использоваться одна ВПМ </w:t>
            </w:r>
            <w:r>
              <w:rPr>
                <w:sz w:val="20"/>
                <w:szCs w:val="20"/>
              </w:rPr>
              <w:t xml:space="preserve">в 2024 — </w:t>
            </w:r>
            <w:r>
              <w:rPr>
                <w:color w:val="FF4000"/>
                <w:sz w:val="20"/>
                <w:szCs w:val="20"/>
              </w:rPr>
              <w:t xml:space="preserve">18389 </w:t>
            </w:r>
            <w:r>
              <w:rPr>
                <w:sz w:val="20"/>
                <w:szCs w:val="20"/>
              </w:rPr>
              <w:t>руб.)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условия для  назначения услуги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lineRule="auto" w:line="240" w:before="0" w:after="0"/>
              <w:ind w:left="0" w:right="0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1) наличие среднедушевого дохода ниже величины прожиточного минимума, рассчитанной с учетом социально-демографических групп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2) проживание семьи (одиноко проживающего гражданина) на территории Приморского края;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3) наличие в Приморском крае нормативного правового акта, устанавливающего нормативы чистого дохода в стоимостном выражении от реализации полученных в личном подсобном хозяйстве плодов и продукции в Приморском крае;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4) наличие право собственности или иного права на земельный участок, предоставленный заявителю либо одному из членов семьи заявителя для ЛПХ в соответствии с Федеральным 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законом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 от 7.07. 2003 № 112-ФЗ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5) </w:t>
            </w:r>
            <w:r>
              <w:rPr>
                <w:rFonts w:eastAsia="Times New Roman"/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auto" w:val="clear"/>
              </w:rPr>
              <w:t>наличие независящих причин неосуществления трудовой деятельности</w:t>
            </w:r>
          </w:p>
          <w:p>
            <w:pPr>
              <w:pStyle w:val="Style21"/>
              <w:spacing w:lineRule="auto" w:line="240" w:before="0" w:after="0"/>
              <w:ind w:left="0" w:right="0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lineRule="auto" w:line="24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Обязательные:</w:t>
            </w:r>
          </w:p>
          <w:p>
            <w:pPr>
              <w:pStyle w:val="Style21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1) обращение граждан </w:t>
            </w:r>
            <w:r>
              <w:rPr>
                <w:color w:val="000000"/>
                <w:sz w:val="20"/>
                <w:szCs w:val="20"/>
                <w:shd w:fill="auto" w:val="clear"/>
              </w:rPr>
              <w:t>по единой форме заявления;</w:t>
            </w:r>
          </w:p>
          <w:p>
            <w:pPr>
              <w:pStyle w:val="Style21"/>
              <w:spacing w:lineRule="auto" w:line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2) наличие среднедушевого дохода ниже величины прожиточного минимума на душу населения;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 проживание семьи (одиноко проживающего гражданина) на территории Приморского края;</w:t>
            </w:r>
          </w:p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 наличие независящих причин неосуществления трудовой деятельности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 наличие решения комиссии о целесообразности предоставления государственной социальной помощи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 w:before="0" w:after="0"/>
              <w:ind w:left="0" w:right="0" w:hanging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 явка заявителя на Комиссию и подписание программы социальной адаптации и социального контракта.</w:t>
            </w:r>
          </w:p>
          <w:p>
            <w:pPr>
              <w:pStyle w:val="Style21"/>
              <w:spacing w:lineRule="auto" w:line="240" w:before="0" w:after="0"/>
              <w:ind w:left="0" w:right="0" w:hanging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Дополнительные:</w:t>
            </w:r>
          </w:p>
          <w:p>
            <w:pPr>
              <w:pStyle w:val="Style21"/>
              <w:spacing w:lineRule="auto" w:line="240" w:before="0" w:after="0"/>
              <w:ind w:left="0" w:right="0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ТЖС: наличие ТЖС, указанной в Перечнем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  <w:lang w:val="ru-RU" w:eastAsia="ru-RU" w:bidi="ar-SA"/>
              </w:rPr>
              <w:t>ИП и ЛПХ: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  <w:lang w:val="ru-RU" w:eastAsia="ru-RU" w:bidi="ar-SA"/>
              </w:rPr>
              <w:t xml:space="preserve">1)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  <w:lang w:val="ru-RU" w:eastAsia="ru-RU" w:bidi="ar-SA"/>
              </w:rPr>
              <w:t xml:space="preserve">прохождение тестирования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для определения уровня предпринимательских компетенций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2)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получение документа, подтверждающего успешное прохождение такого обучения (если тестирование пройдено неудовлетворительно)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3)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наличия регистрации (планирует зарегистрироваться) в качестве индивидуального предпринимателя или осуществления (планирует осуществлять) своей деятельности в качестве налогоплательщика налога на профессиональный доход на территории Приморского края;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4)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наличие доходов от предпринимательской деятельности (от ЛПХ)  в течении всего расчетного периода, если заявитель зарегистрирован в расчетном периоде в налоговом органе в качестве индивидуального предпринимателя или плательщика налога на профессиональный доход;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5) наличие бизнес-плана, одобренного Комисией или сметы расходов, одобренной Комиссией 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размер выплат   </w:t>
            </w:r>
            <w:r>
              <w:rPr>
                <w:sz w:val="20"/>
                <w:szCs w:val="20"/>
              </w:rPr>
              <w:t>по 2 мероприятиям «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по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иск работы»,  «ТЖС</w:t>
            </w: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»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firstLine="709"/>
              <w:jc w:val="center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18646 рублей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firstLine="709"/>
              <w:jc w:val="center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20044 рубля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firstLine="70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 трудоустройства по мероприятию  - поиск работы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  </w:t>
            </w:r>
            <w:r>
              <w:rPr>
                <w:color w:val="FF4000"/>
                <w:sz w:val="20"/>
                <w:szCs w:val="20"/>
              </w:rPr>
              <w:t>(служебный контракт)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firstLine="70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 расходов 350 000  на ИП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не более 15 % - принятия имущественных обязательств </w:t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не более 10% - получение (приобретение) лицензии на программное обеспечение и (или) на осуществление отд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u w:val="none"/>
              </w:rPr>
              <w:t>ельных видов деятельности в соответствии со статьей 12 Федерального закона от 4 мая 2011 года № 99-ФЗ "О лицензировании отдельных видов деятельности</w:t>
            </w: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" </w:t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не более 5% возмещение расходов, связанных с постановкой на учет в качестве ИП или самозанятого </w:t>
            </w:r>
          </w:p>
          <w:p>
            <w:pPr>
              <w:pStyle w:val="Normal"/>
              <w:ind w:left="0" w:hanging="0"/>
              <w:jc w:val="both"/>
              <w:rPr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  <w:p>
            <w:pPr>
              <w:pStyle w:val="Normal"/>
              <w:ind w:left="0" w:hanging="0"/>
              <w:jc w:val="both"/>
              <w:rPr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  <w:p>
            <w:pPr>
              <w:pStyle w:val="Normal"/>
              <w:ind w:left="0" w:hanging="0"/>
              <w:jc w:val="both"/>
              <w:rPr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  <w:p>
            <w:pPr>
              <w:pStyle w:val="Normal"/>
              <w:ind w:left="0" w:hanging="0"/>
              <w:jc w:val="both"/>
              <w:rPr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  <w:p>
            <w:pPr>
              <w:pStyle w:val="Normal"/>
              <w:ind w:left="0" w:hanging="0"/>
              <w:jc w:val="both"/>
              <w:rPr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80% или вся сумма (100%) - основные средства, материально-производственные запасы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не более 15 % - принятия имущественных обязате</w:t>
            </w: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льств </w:t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не более 10% -  </w:t>
            </w:r>
            <w:r>
              <w:rPr>
                <w:rFonts w:eastAsia="Times New Roman"/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на </w:t>
            </w:r>
            <w:r>
              <w:rPr>
                <w:rFonts w:eastAsia="Times New Roman"/>
                <w:b/>
                <w:bCs/>
                <w:i w:val="false"/>
                <w:strike w:val="false"/>
                <w:dstrike w:val="false"/>
                <w:color w:val="FF4000"/>
                <w:sz w:val="20"/>
                <w:szCs w:val="20"/>
                <w:u w:val="none"/>
                <w:shd w:fill="auto" w:val="clear"/>
              </w:rPr>
              <w:t>компенсацию</w:t>
            </w:r>
            <w:r>
              <w:rPr>
                <w:rFonts w:eastAsia="Times New Roman"/>
                <w:b w:val="false"/>
                <w:i w:val="false"/>
                <w:strike w:val="false"/>
                <w:dstrike w:val="false"/>
                <w:color w:val="FF4000"/>
                <w:sz w:val="20"/>
                <w:szCs w:val="20"/>
                <w:u w:val="none"/>
                <w:shd w:fill="auto" w:val="clear"/>
              </w:rPr>
              <w:t xml:space="preserve"> расходов</w:t>
            </w:r>
            <w:r>
              <w:rPr>
                <w:rFonts w:eastAsia="Times New Roman"/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, связанных с подготовкой и оформлением разрешительной документации, необходимой для осуществления предпринимательской деятельности, на </w:t>
            </w:r>
            <w:r>
              <w:rPr>
                <w:rFonts w:eastAsia="Times New Roman"/>
                <w:b/>
                <w:bCs/>
                <w:i w:val="false"/>
                <w:strike w:val="false"/>
                <w:dstrike w:val="false"/>
                <w:color w:val="FF4000"/>
                <w:sz w:val="20"/>
                <w:szCs w:val="20"/>
                <w:u w:val="none"/>
                <w:shd w:fill="auto" w:val="clear"/>
              </w:rPr>
              <w:t>приобретение</w:t>
            </w:r>
            <w:r>
              <w:rPr>
                <w:rFonts w:eastAsia="Times New Roman"/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программного обеспечения и (или) неисключительных прав на программное обеспечение, а также на приобретение носителей электронной подписи</w:t>
            </w:r>
          </w:p>
          <w:p>
            <w:pPr>
              <w:pStyle w:val="Normal"/>
              <w:ind w:left="0" w:hanging="0"/>
              <w:jc w:val="both"/>
              <w:rPr>
                <w:rFonts w:eastAsia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eastAsia="Times New Roman"/>
                <w:b w:val="false"/>
                <w:i w:val="false"/>
                <w:strike w:val="false"/>
                <w:dstrike w:val="false"/>
                <w:color w:val="000000"/>
                <w:u w:val="none"/>
              </w:rPr>
            </w:r>
          </w:p>
          <w:p>
            <w:pPr>
              <w:pStyle w:val="Normal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не более 5% - </w:t>
            </w:r>
            <w:r>
              <w:rPr>
                <w:rFonts w:eastAsia="Times New Roman"/>
                <w:b w:val="false"/>
                <w:i w:val="false"/>
                <w:strike w:val="false"/>
                <w:dstrike w:val="false"/>
                <w:color w:val="FF4000"/>
                <w:sz w:val="20"/>
                <w:szCs w:val="20"/>
                <w:u w:val="none"/>
                <w:shd w:fill="auto" w:val="clear"/>
              </w:rPr>
              <w:t>н</w:t>
            </w:r>
            <w:r>
              <w:rPr>
                <w:rFonts w:eastAsia="Times New Roman"/>
                <w:b/>
                <w:bCs/>
                <w:i w:val="false"/>
                <w:strike w:val="false"/>
                <w:dstrike w:val="false"/>
                <w:color w:val="FF4000"/>
                <w:sz w:val="20"/>
                <w:szCs w:val="20"/>
                <w:u w:val="none"/>
                <w:shd w:fill="auto" w:val="clear"/>
              </w:rPr>
              <w:t>а размещение и (или) продвижение</w:t>
            </w:r>
            <w:r>
              <w:rPr>
                <w:rFonts w:eastAsia="Times New Roman"/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продукции (товаров, работ, услуг) на торговых площадках (сайтах), функционирующих в информационно-телекоммуникационной сети «Интернет», а также в сервисах размещения объявлений и социальных сетях</w:t>
            </w:r>
          </w:p>
          <w:p>
            <w:pPr>
              <w:pStyle w:val="Normal"/>
              <w:ind w:left="0" w:hanging="0"/>
              <w:jc w:val="both"/>
              <w:rPr>
                <w:rFonts w:eastAsia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u w:val="none"/>
              </w:rPr>
            </w:pPr>
            <w:r>
              <w:rPr>
                <w:rFonts w:eastAsia="Times New Roman"/>
                <w:b w:val="false"/>
                <w:i w:val="false"/>
                <w:strike w:val="false"/>
                <w:dstrike w:val="false"/>
                <w:color w:val="000000"/>
                <w:u w:val="none"/>
              </w:rPr>
            </w:r>
          </w:p>
          <w:p>
            <w:pPr>
              <w:pStyle w:val="Normal"/>
              <w:spacing w:before="0" w:after="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80% или вся сумма (100%) - основные средства, материально-производственные запас</w:t>
            </w: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ы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firstLine="70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направления расходов 200 000  на  ЛПХ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приобретение товаров для ведения личного подсобного хозяйства, а также продукции, относимой к сельскохозяйственной продукции, утвержденной Постановлением Правительства  РФ от 25.07.2006 № 458 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приобретение товаров для ведения личного подсобного хозяйства, </w:t>
            </w:r>
            <w:r>
              <w:rPr>
                <w:b/>
                <w:bCs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основных средств,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 а также продукции, относимой к сельскохозяйственной продукции, утвержденной Постановлением Правительства  РФ от 25.07.2006 № 458 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firstLine="70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с</w:t>
            </w:r>
            <w:r>
              <w:rPr>
                <w:rFonts w:cs="Times New Roman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остав семьи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лица, связанные родством и (или) свойством (к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падчерицы)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заявитель, его супруг (супруга), его несовершеннолетние дети, дети, находящиеся под его опекой (попечительством), и его дети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i w:val="false"/>
                <w:strike w:val="false"/>
                <w:dstrike w:val="false"/>
                <w:sz w:val="20"/>
                <w:szCs w:val="20"/>
                <w:u w:val="none"/>
              </w:rPr>
              <w:t>при расчете среднедушевого дохода в состав семьи не включаются: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0" w:hanging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1)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      </w:r>
          </w:p>
          <w:p>
            <w:pPr>
              <w:pStyle w:val="Normal"/>
              <w:spacing w:before="0" w:after="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2)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      </w:r>
          </w:p>
          <w:p>
            <w:pPr>
              <w:pStyle w:val="Normal"/>
              <w:spacing w:before="0" w:after="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3) лица, находящиеся на полном государственном обеспечении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1) лица, находящиеся на полном государственном обеспечении (за исключением заявителя, а также детей, находящихся под его опекой (попечительством);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2) военнослужащие, проходящие военную службу по призыву, а также военнослужащие,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контракта о прохождении военной службы;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3) лица, отбывающие наказание в виде лишения свободы;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4) лица, находящиеся на принудительном лечении по решению суда;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5) лица, в отношении которых применена мера пресечения в виде заключения под стражу;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6) лица, признанные безвестно отсутствующими или объявленные умершими;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7) лица, находящиеся в розыске;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8) несовершеннолетние дети заявителя, дети, находящиеся под опекой (попечительством) заявителя, дети заявителя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обучения, состоящие в браке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firstLine="70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i w:val="false"/>
                <w:strike w:val="false"/>
                <w:dstrike w:val="false"/>
                <w:sz w:val="20"/>
                <w:szCs w:val="20"/>
                <w:u w:val="none"/>
              </w:rPr>
              <w:t>расчетный период доходов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суммы доходов за три последних календарных месяца, предшествующих месяцу подачи заявления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суммы доходов за три последних календарных месяца, предшествующих одному календарному месяцу перед месяцем подачи заявления</w:t>
            </w: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 </w:t>
            </w:r>
            <w:r>
              <w:rPr>
                <w:b w:val="false"/>
                <w:i/>
                <w:iCs/>
                <w:strike w:val="false"/>
                <w:dstrike w:val="false"/>
                <w:color w:val="FF4000"/>
                <w:sz w:val="20"/>
                <w:szCs w:val="20"/>
                <w:u w:val="none"/>
              </w:rPr>
              <w:t>(откат на 1 месяц назад)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форма заявления на выплату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заявления утверждалась приказом министерства              № 367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22.05.2020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color w:val="FF4000"/>
                <w:sz w:val="20"/>
                <w:szCs w:val="20"/>
                <w:u w:val="none"/>
              </w:rPr>
              <w:t>единая форма заявления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, утверждена постановлением Правительства РФ № 1931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firstLine="70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способ</w:t>
            </w:r>
            <w:r>
              <w:rPr>
                <w:b/>
                <w:bCs/>
                <w:sz w:val="20"/>
                <w:szCs w:val="20"/>
              </w:rPr>
              <w:t xml:space="preserve"> обращения 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электронная форма : ЕПГУ, РПГУ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личное обращение: МФЦ, орган соцзащиты, центр занятости населения 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 почтой : министерство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электронная форма : ЕПГУ </w:t>
            </w:r>
            <w:r>
              <w:rPr>
                <w:color w:val="FF4000"/>
                <w:sz w:val="20"/>
                <w:szCs w:val="20"/>
              </w:rPr>
              <w:t>(</w:t>
            </w:r>
            <w:r>
              <w:rPr>
                <w:i/>
                <w:iCs/>
                <w:color w:val="FF4000"/>
                <w:sz w:val="20"/>
                <w:szCs w:val="20"/>
              </w:rPr>
              <w:t>н</w:t>
            </w:r>
            <w:r>
              <w:rPr>
                <w:i/>
                <w:iCs/>
                <w:color w:val="FF4000"/>
                <w:sz w:val="20"/>
                <w:szCs w:val="20"/>
              </w:rPr>
              <w:t>ет РПГУ</w:t>
            </w:r>
            <w:r>
              <w:rPr>
                <w:color w:val="FF4000"/>
                <w:sz w:val="20"/>
                <w:szCs w:val="20"/>
              </w:rPr>
              <w:t>)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личное обращение: МФЦ, орган соцзащиты, центр занятости населения 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09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заявления об заявления об изменении способа доставки государственной социальной помощи изменении способа доставки  выплаты</w:t>
            </w:r>
          </w:p>
        </w:tc>
      </w:tr>
      <w:tr>
        <w:trPr/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заявления утверждалась приказом министерства  № </w:t>
            </w:r>
            <w:r>
              <w:rPr>
                <w:color w:val="000000"/>
                <w:sz w:val="20"/>
                <w:szCs w:val="20"/>
              </w:rPr>
              <w:t>768 от 12.11.2020</w:t>
            </w:r>
          </w:p>
        </w:tc>
        <w:tc>
          <w:tcPr>
            <w:tcW w:w="5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color w:val="FF4000"/>
                <w:sz w:val="20"/>
                <w:szCs w:val="20"/>
                <w:u w:val="none"/>
              </w:rPr>
              <w:t>единая форма заявления,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 утверждена постановлением Правительства РФ № 1931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firstLine="7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способ обращения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для изменения способа доставки  выплаты</w:t>
            </w:r>
          </w:p>
        </w:tc>
      </w:tr>
      <w:tr>
        <w:trPr>
          <w:trHeight w:val="329" w:hRule="atLeast"/>
        </w:trPr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личное обращение: МФЦ, орган соцзащиты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электронная форма : ЕПГУ 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личное обращение: МФЦ, орган соцзащиты</w:t>
            </w:r>
          </w:p>
        </w:tc>
      </w:tr>
      <w:tr>
        <w:trPr>
          <w:trHeight w:val="329" w:hRule="atLeast"/>
        </w:trPr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firstLine="709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9 независящих причин неосуществления трудовой деятельности</w:t>
            </w:r>
          </w:p>
        </w:tc>
      </w:tr>
      <w:tr>
        <w:trPr>
          <w:trHeight w:val="329" w:hRule="atLeast"/>
        </w:trPr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  <w:t xml:space="preserve">в 4 причинах дополнено условие что данная причина должна быть </w:t>
            </w:r>
            <w:r>
              <w:rPr>
                <w:b w:val="false"/>
                <w:i w:val="false"/>
                <w:strike w:val="false"/>
                <w:dstrike w:val="false"/>
                <w:color w:val="C9211E"/>
                <w:sz w:val="20"/>
                <w:szCs w:val="20"/>
                <w:u w:val="none"/>
              </w:rPr>
              <w:t>не менее 1 месяца в расчетном периоде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д) наличие регистрации в органах службы занятости в целях поиска подходящей работы или в качестве безработного;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ж) осуществление ухода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уходе, либо достигшим возраста 80 лет - при условии получения ежемесячной компенсационной выплаты в соответствии с указом Президента РФ  от 26.12. 2006 № 1455;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з) осуществление ухода за ребенком-инвалидом в возрасте до 18 лет или инвалидом с детства I группы - при условии получения ежемесячной выплаты в соответствии с указом президента РФ от 26.02.2013 № 175;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и) осуществление одним из родителей ухода за ребенком (детьми) до достижения им (ими) возраста трех лет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firstLine="709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еречень документов для назначения  ГСП ПО СК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а) документ, удостоверяющий личность гражданина Российской Федерации.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б) свидетельство о рождении ребенка (детей) (в случае обращения малоимущей семьи, имеющей несовершеннолетних детей);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strike w:val="false"/>
                <w:dstrike w:val="false"/>
                <w:sz w:val="20"/>
                <w:szCs w:val="20"/>
                <w:u w:val="none"/>
              </w:rPr>
              <w:t>в)</w:t>
            </w: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 документы, подтверждающие доходы заявителя и каждого члена его семьи за три последних месяца,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Постановлением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 Прав</w:t>
            </w: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ительства Российской Федерации  № 512;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г) согласие на обработку персональных данных несовершеннолетних лиц, зарегистрированных совместно с заявителем;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д) документы, подтверждающие сведения о составе семьи и лицах, зарегистрированных совместно с заявителем по месту жительства (пребывания);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е) документ об образовании и (или) о квалификации (при наличии) (в случае необходимости организации обучения)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strike w:val="false"/>
                <w:dstrike w:val="false"/>
                <w:sz w:val="20"/>
                <w:szCs w:val="20"/>
                <w:u w:val="none"/>
              </w:rPr>
              <w:t>ж)</w:t>
            </w: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 документы, подтверждающие обстоятельства, свидетельствующие о наличии независящих причин неосуществления трудовой деятельности; о нахождении заявителя в трудной жизненной ситуации;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з) правоустанавливающий документ на земельный участок, предоставленный заявителю либо одному из членов семьи заявителя для ведения личного подсобного хозяйства в соответствии с Федеральны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м 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законом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 о</w:t>
            </w: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т </w:t>
            </w: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0</w:t>
            </w: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7.07.2003              №  112-ФЗ 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strike w:val="false"/>
                <w:dstrike w:val="false"/>
                <w:sz w:val="20"/>
                <w:szCs w:val="20"/>
                <w:u w:val="none"/>
              </w:rPr>
              <w:t>и)</w:t>
            </w: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 документы (сведения), подтверждающие факт призыва члена малоимущей семьи заявителя на военную службу по мобилизации в соответ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ствии с 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Указом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 N 647, выданные военным комиссариатом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Перечне документов (копий документов, сведений) указан в приложении № 14 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(есть документы, которые мы получаем только по СМЭВ, есть документы которые заявитель должен принести самостоятельно т. к. их невозможно получить по СМЭВ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u w:val="none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дополнительно введен документ: смета расходов для СК по ЛПХ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2A6099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2A6099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2A6099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2A6099"/>
              </w:rPr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для доноса документов и уведомление о доносе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</w:rPr>
              <w:t>10 раб.д.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</w:rPr>
              <w:t>уведомляем не позднее 2 раб.д. с момента регистрации заявления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раб.д.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уведомляем не позднее </w:t>
            </w:r>
            <w:r>
              <w:rPr>
                <w:color w:val="FF4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раб.д. с момента регистрации заявления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документы перед проведением  заседания Комиссии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предусмотрена возможность </w:t>
            </w:r>
            <w:r>
              <w:rPr>
                <w:color w:val="000000"/>
                <w:sz w:val="20"/>
                <w:szCs w:val="20"/>
                <w:shd w:fill="auto" w:val="clear"/>
              </w:rPr>
              <w:t>запрашива</w:t>
            </w:r>
            <w:r>
              <w:rPr>
                <w:color w:val="000000"/>
                <w:sz w:val="20"/>
                <w:szCs w:val="20"/>
                <w:shd w:fill="auto" w:val="clear"/>
              </w:rPr>
              <w:t>ть</w:t>
            </w:r>
            <w:r>
              <w:rPr>
                <w:color w:val="000000"/>
                <w:sz w:val="20"/>
                <w:szCs w:val="20"/>
                <w:shd w:fill="auto" w:val="clear"/>
              </w:rPr>
              <w:t xml:space="preserve"> при необходимости дополнительные документы, необходимые для составления программы социальной адаптации </w:t>
            </w: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>(в зависимости от дополнительных мероприятий в ПСА)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бщие требования для заявителя и органа социальной защиты при подаче документов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аявитель - основную часть документов,  в том числе сведения о доходах, предоставляет самостоятельно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соцзащиты - проверяет достоверность представленных документов и делает СМЭВ из перечня документов, которые заявитель не предоставил по собственной инициативе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информирует о донесе документов, если был подан не полный пакет документов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аявитель - достаточно </w:t>
            </w:r>
            <w:r>
              <w:rPr>
                <w:b/>
                <w:bCs/>
                <w:sz w:val="20"/>
                <w:szCs w:val="20"/>
              </w:rPr>
              <w:t>первоначально подать одно заявление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с последующим доносом</w:t>
            </w:r>
            <w:r>
              <w:rPr>
                <w:sz w:val="20"/>
                <w:szCs w:val="20"/>
              </w:rPr>
              <w:t xml:space="preserve"> необходимых документов, указанных в уведомлении 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соцзащиты - делает СМЭВ из перечня документов, которые указан в Приложении № 14,  оформляет уведомление с перечнем документов, которые подлежат доносу, проверяет достоверность представленных документов (сведений)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firstLine="70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овторное заключение СК   на  ТЖС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н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е было права на повторное заключение СК 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FF4000"/>
                <w:spacing w:val="-4"/>
                <w:sz w:val="20"/>
                <w:szCs w:val="20"/>
                <w:u w:val="none"/>
                <w:lang w:val="ru-RU" w:eastAsia="ru-RU" w:bidi="ar-SA"/>
              </w:rPr>
              <w:t>д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FF4000"/>
                <w:spacing w:val="-4"/>
                <w:sz w:val="20"/>
                <w:szCs w:val="20"/>
                <w:u w:val="none"/>
                <w:lang w:val="ru-RU" w:eastAsia="ru-RU" w:bidi="ar-SA"/>
              </w:rPr>
              <w:t>опускается заключение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  <w:lang w:val="ru-RU" w:eastAsia="ru-RU" w:bidi="ar-SA"/>
              </w:rPr>
              <w:t xml:space="preserve"> СК не чаще одного раза в год со дня окончания срока действия предыдущего СК по ТЖС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снования для отказа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а) превышение размера среднедушевого дохода семьи </w:t>
            </w:r>
            <w:r>
              <w:rPr>
                <w:rFonts w:eastAsia="Times New Roman"/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или дохода одиноко проживающего гражданина 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над величиной прожиточного минимума, рассчитанной с учетом  социально-демографических групп населения;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б) заявителем представлены неполные и (или) недостоверные сведения о составе семьи, доходах и принадлежащем ему (его семье) имуществе на праве собственности;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в) непредставление заявителем в полном объеме документов, необходимых для назначения государственной социальной помощи, в срок, указанный в абзаце тридцать седьмом пункта 3.2 настоящего Положения, и (или) документы не соответствуют требованиям, установленным настоящим Положением;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г) заявителю (членам семьи заявителя) ранее была назначена государственная социальная помощь в соответствии с настоящим Положением, и срок действия СК не истек;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д) отсутствие трудной жизненной ситуации, указанной в Перечне;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е) повторное обращение заявителя 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на поиск работы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 в течение года с даты окончания срока действия социального контракта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ж) отсутствие права собственности или иного права на земельный участок, предоставленный заявителю либо одному из членов семьи заявителя для ведения личного подсобного хозяйства в соответствии с Федеральным законом от 7 июля 2003 года № 112-ФЗ "О личном подсобном хозяйстве"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з) повторное обращение заявителя (члена семьи заявителя) за назначением государственной социальной помощи по ранее реализованным мероприятиям социального контракта, указанным в подпунктах "б", "в", "г" пункта 1.7 настоящего Положения;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и)повторное обращение заявителя за назначением государственной социальной помощи по ранее не реализованным мероприятиям социального контракта, указанным в подпунктах "б" - "г" пункта 1.7 настоящего Положения, в течение года с даты расторжения ранее заключенного социального контракта с таким гражданином в связи с неисполнением (несвоевременным исполнением) получателем государственной социальной помощи мероприятий программы социальной адаптации без уважительных причин;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к) отсутствие у трудоспособного заявителя и (или) членов его семьи независящих причин неосуществления трудовой деятельности;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л) отсутствие регистрации по месту жительства (пребывания) на территории Приморского края или отсутствие подтверждения факта проживания на территории Приморского края;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м) обращение заявителя в течение одного года с момента получения им (членом семьи заявителя) по линии органов службы занятости единовременной финансовой помощи </w:t>
            </w: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по линии центра занятости;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н) отказ от оказания государственной социальной помощи по письменному заявлению;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о) отказ заявителя от проведения обследования материально-бытовых условий проживания;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п) отсутствие доходов от предпринимательской деятельности или от ведения личного подсобного хозяйства в расчетном периоде, если заявитель зарегистрирован в расчетном периоде в налоговом органе;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р) отсутствие необходимости в удовлетворении текущих потребностей граждан в приобретении товаров первой необходимости, одежды, обуви, лекарственных препаратов, товаров для ведения ЛПХ, указанных в Перечне товаров, подтвержденной посредством дополнительной проверки (комиссионного обследования), проводимой структурным подразделением КГКУ;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с) отсутствие (недостаток) бюджетных ассигнований и лимитов бюджетных обязательств;</w:t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т) полное распределение бюджетных ассигнований и лимитов бюджетных обязательств, предусмотренных (доведенных) с учетом соблюдения распределения численности получателей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а) превышение размера среднедушевого дохода семьи или дохода одиноко проживающего гражданина над величиной прожиточного минимума на душу населения;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б) наличие в заявлении и (или) документах (сведениях) недостоверной и (или) неполной информации, за исключением случая, предусмотренного пунктом 3.19 настоящего Положения;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в) непредставление заявителем в 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shd w:fill="auto" w:val="clear"/>
              </w:rPr>
              <w:t xml:space="preserve">структурное подразделение КГКУ </w:t>
            </w: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документов (сведений), необходимых для назначения государственной социальной помощи в установленные сроки;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г) отсутствие бюджетных ассигнований в текущем финансовом году;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д) достижение численности получателей  утвержденной министерством;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е) трудоустройство заявителя на момент подачи заявления и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в период рассмотрения заявления;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ж) наличие у заявителя (члена его семьи) действующего социального контракта;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з) отзыв заявителем заявления до принятия решения;</w:t>
            </w:r>
          </w:p>
          <w:p>
            <w:pPr>
              <w:pStyle w:val="Normal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и) отказ заявителя от подписания социального контракта или его неявка на подписание социального контракта;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к) наличие у заявителя непогашенной задолженности перед структурным подразделением КГКУ, в том числе взыскиваемой в судебном порядке, по денежным средствам, выплаченным в соответствии с условиями ранее заключенного социального контракта;</w:t>
            </w:r>
          </w:p>
          <w:p>
            <w:pPr>
              <w:pStyle w:val="Normal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л) несоответствие заявителя и членов его семьи условиям, в том числе на основании решения Комиссии;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м) неполучение гражданином сертификата или иного документа, подтверждающего успешное прохождение обучения для развития предпринимательских компетенций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fill="auto" w:val="clear"/>
              </w:rPr>
              <w:t>д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ополнительными основаниями для отказа в случае, когда заявитель ранее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fill="auto" w:val="clear"/>
              </w:rPr>
              <w:t>являлся получателем такой помощи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тдельный перечень оснований не был предусмотрен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а) наличие завершенного социального контракта по мероприятиям, указанным в подпунктах «а» и «г» пункта 1.7 настоящего Положения;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непредставление заявителем в структурное подразделение КГКУ документов (сведений), необходимых для контроля реализации и мониторинга ранее заключенного социального контракта;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в) прекращение трудовой деятельности в период действия ранее заключенного социального контракта по мероприятию, указанному в подпункте «а»  пункта 1.7 настоящего Положения (за исключением случаев сокращения, увольнения в связи с переездом на новое место жительства и иных уважительных причин, указанных в  пункте 3.13 настоящего Порядка);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прекращение трудовой деятельности в течение 12 месяцев со дня окончания срока действия ранее заключенного социального контракта по мероприятию, указанному в подпункте «а»  пункта 1.7 настоящего Положения (за исключением случаев сокращения, увольнения в связи с переездом на новое место жительства и иных уважительных причин, указанных в  пункте 3.13 настоящего Порядка);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д) прекращение государственной регистрации в качестве индивидуального предпринимателя или снятие заявителя, не являющегося индивидуальным предпринимателем, с учета в налоговом органе в качестве налогоплательщика налога на профессиональный доход в период действия ранее заключенного социального контракта по мероприятиям, указанным в подпунктах «б» и «в»  пункта 1.7 настоящего Положения;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0"/>
                <w:szCs w:val="20"/>
                <w:shd w:fill="auto" w:val="clear"/>
              </w:rPr>
              <w:t>е)</w:t>
            </w:r>
            <w:r>
              <w:rPr>
                <w:rFonts w:eastAsia="Times New Roman"/>
                <w:color w:val="000000"/>
                <w:spacing w:val="-4"/>
                <w:sz w:val="20"/>
                <w:szCs w:val="20"/>
                <w:shd w:fill="auto" w:val="clear"/>
              </w:rPr>
              <w:t xml:space="preserve"> прекращение государственной регистрации в качестве индивидуального</w:t>
            </w: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 предпринимателя или снятие заявителя, не являющегося индивидуальным предпринимателем, с учета в налоговом органе в качестве налогоплательщика налога на профессиональный доход 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shd w:fill="auto" w:val="clear"/>
              </w:rPr>
              <w:t>в течение 12 месяцев со дня окончания срока действия ранее заключенного социального контракта</w:t>
            </w: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 по мероприятиям, указанным в подпунктах «б» и «в»   пункта 1.7 настоящего Положения;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ж) нецелевое использование получателем государственной социальной помощи на основании социального контракта денежных средств, выплаченных в соответствии с условиями ранее заключенного социального контракта 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shd w:fill="auto" w:val="clear"/>
              </w:rPr>
              <w:t>по мероприятиям, указанным в подпунктах «б», «в» и «г»  пункта 1.7 настоящего Положения;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з) неисполнение (несвоевременное исполнение) получателем государственной социальной помощи мероприятий программы социальной адаптации без уважительных причин, указанных в пункте 4.6 настоящего Положения в рамках ранее заключенного социального контракта;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и)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полное отсутствие налоговых отчислений 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>в течение 12 месяцев со дня окончания срока действия ранее заключенного социального контракта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по мероприятиям, указанным в подпунктах «б» и «в» пункта 1.7 настоящего Положения.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к)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получение заявителем от органов занятости населения единовременной финансовой помощи на содействие началу осуществления предпринимательской деятельности безработных граждан, оказываемой в соответствии с абзацем одиннадцатым подпункта 8 пункта 1 статьи 7.1-1 Закона Российской Федерации «О занятости населения в Российской Федерации» (при назначении государственной социальной помощи по мероприятиям, указанным в подпунктах «б» и «в» пункта 1.7 настоящего Положения). 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Обстоятельства, указанные в подпунктах «а», «в», «д», «ж» и «з» настоящего </w:t>
            </w:r>
            <w:r>
              <w:rPr>
                <w:rFonts w:eastAsia="Times New Roman"/>
                <w:color w:val="000000"/>
                <w:spacing w:val="-6"/>
                <w:sz w:val="20"/>
                <w:szCs w:val="20"/>
                <w:shd w:fill="auto" w:val="clear"/>
              </w:rPr>
              <w:t xml:space="preserve">пункта, являются дополнительными основаниями для отказа 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20"/>
                <w:szCs w:val="20"/>
                <w:shd w:fill="auto" w:val="clear"/>
              </w:rPr>
              <w:t>в течение 12 месяцев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 со дня окончания срока действия ранее заключенного социального контракта.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Обстоятельства, указанные в подпунктах «б», «г», «е», «и» и «к» настоящего пункта, являются дополнительными основаниями для отказа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 течение 12 месяцев начиная с месяца, следующего за месяцем, в котором органу социальной защиты населения стало известно о возникновении соответствующих обстоятельств. 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360" w:before="0" w:after="0"/>
              <w:ind w:left="0" w:right="0" w:firstLine="709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уважительные причины, влияющие на прекращение трудовой деятельности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тдельный перечень причин не был предусмотрен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а) ликвидация организации либо прекращение деятельности индивидуальным предпринимателем;</w:t>
              <w:br/>
              <w:t>призыв на военную службу; 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б) восстановление на работе работника, ранее выполнявшего эту работу, по решению государственной инспекции труда или решению суда;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в) увольнение 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shd w:fill="auto" w:val="clear"/>
                <w:lang w:bidi="hi-IN"/>
              </w:rPr>
              <w:t>по состоянию здоровья</w:t>
            </w: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, требующее длительно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shd w:fill="auto" w:val="clear"/>
                <w:lang w:bidi="hi-IN"/>
              </w:rPr>
              <w:t>го</w:t>
            </w: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 лечени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shd w:fill="auto" w:val="clear"/>
                <w:lang w:bidi="hi-IN"/>
              </w:rPr>
              <w:t>я</w:t>
            </w: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 (госпитализация, операция);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выход раньше срока, работника, ранее выполнявшего эту работу, из декретного отпуска;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г) окончание срока действия трудового договора (служебного контракта);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д) осуществление ухода за ребенком, матерью, отцом, супругом (ой) - при условии получения ежемесячной выплаты в соответствии с Указом № 1455 или Указом № 175;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е) приостановление деятельности либо введение иных ограничений в связи с принятием акта органа власти об установлении режима чрезвычайной ситуации, введение режима повышенной готовности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рок рассмотрения заявления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 - 10 кал.д.;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 - 30 кал.д. 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Мин - 10 </w:t>
            </w:r>
            <w:r>
              <w:rPr>
                <w:rFonts w:eastAsia="Times New Roman"/>
                <w:color w:val="FF4000"/>
                <w:sz w:val="20"/>
                <w:szCs w:val="20"/>
              </w:rPr>
              <w:t>раб.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д.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Мак - 30 </w:t>
            </w:r>
            <w:r>
              <w:rPr>
                <w:rFonts w:eastAsia="Times New Roman"/>
                <w:color w:val="FF4000"/>
                <w:sz w:val="20"/>
                <w:szCs w:val="20"/>
              </w:rPr>
              <w:t>раб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.д. 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снования для продления 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проведение дополнительной проверки (комиссионного обследования)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а) необходимость проведения дополнительной проверки (комиссионного обследования);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б) непоступление документов (сведений), запрашиваемых в рамках межведомственного электронного взаимодействия;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в) необходимость прохождения тестирования;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8"/>
                <w:sz w:val="20"/>
                <w:szCs w:val="20"/>
                <w:shd w:fill="auto" w:val="clear"/>
              </w:rPr>
              <w:t>г) необходимость прохождения обучения для развития предпринимательских</w:t>
            </w: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 компетенций;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д) необходимость подготовки или доработки бизнес-плана.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У</w:t>
            </w: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в</w:t>
            </w: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едомление о продлении не позднее 1 раб.д. со дня продления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лгорит</w:t>
            </w: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действий при рассмотрении заявления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1) рассмотрение заявления (комиссионное обследование при необходимости), в том числе </w:t>
            </w:r>
            <w:r>
              <w:rPr>
                <w:color w:val="000000"/>
                <w:sz w:val="20"/>
                <w:szCs w:val="20"/>
              </w:rPr>
              <w:t xml:space="preserve">направление запросов по </w:t>
            </w:r>
            <w:r>
              <w:rPr>
                <w:color w:val="000000"/>
                <w:sz w:val="20"/>
                <w:szCs w:val="20"/>
              </w:rPr>
              <w:t>СМЭВ;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) вынесение решения и уведомления заявителя о принятом решении;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) направление уведомления (при положительном решении) содержащее приглашение на Комиссию и необходимость разработки бизнес-план (если ИП);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) анкетирование заявителя;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) рассмотрение документов на комиссии, составление и подписание ПСА, оценка бизнес-плана;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) аннулирование решения о назначении ГСП по СК (при наличии оснований) и уведомление заявления;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) заключение СК;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) организация осуществления выплаты;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) выполнение мероприятий ПСА, сопровождение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а) рассматривает заявление;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б) при необходимости проводит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shd w:fill="auto" w:val="clear"/>
              </w:rPr>
              <w:t>дополнительную проверку (комиссионное обследование);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в) направляет запрос</w:t>
            </w:r>
            <w:r>
              <w:rPr>
                <w:color w:val="000000"/>
                <w:sz w:val="20"/>
                <w:szCs w:val="20"/>
                <w:shd w:fill="auto" w:val="clear"/>
              </w:rPr>
              <w:t>ы по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shd w:fill="auto" w:val="clear"/>
              </w:rPr>
              <w:t xml:space="preserve"> СМЭВ, в ЕЦЦП </w:t>
            </w:r>
            <w:r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shd w:fill="auto" w:val="clear"/>
              </w:rPr>
              <w:t>и уведомляет о необходимости доноса документов</w:t>
            </w: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 xml:space="preserve">;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г) проводит в дистанционной форме или лично анкетирование заявителя и запрашивает при необходимости дополнительные документы, необходимые для составления программы социальной адаптации;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д) </w:t>
            </w: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информирует заявителя о  необходимости разработки бизнес-плана и уведомляет его о дате и месте предоставления бизнес-плана на предварительное рассмотрение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е) предварительно рассматривает бизнес-план и при необходимости возвращает его заявителю на доработку;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ж) проверяет наличие (отсутствие) условий для назначения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услуги;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з) проверяется наличие (отсутствие) оснований для отказа в назначении </w:t>
            </w: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услуги,</w:t>
            </w: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 в том числе по социальным контрактам, ранее заключенным в другом субъекте Российской Федерации, через ЕЦЦП и (или) посредством СМЭВ;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и) обеспечивает прохождение заявителем</w:t>
            </w:r>
            <w:r>
              <w:rPr>
                <w:rFonts w:eastAsia="Times New Roman"/>
                <w:color w:val="000000"/>
                <w:spacing w:val="-4"/>
                <w:sz w:val="20"/>
                <w:szCs w:val="20"/>
                <w:shd w:fill="auto" w:val="clear"/>
              </w:rPr>
              <w:t xml:space="preserve"> тестирования;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-4"/>
                <w:sz w:val="20"/>
                <w:szCs w:val="20"/>
                <w:shd w:fill="auto" w:val="clear"/>
              </w:rPr>
              <w:t>к) информирует заявителя о необходимости прохождения обучения для развития предпринимательских компетенций и получения сертификата или иного документа, подтверждающего успешное прохождение такого обучения (в случае  прохождение тестирования с неудовлетворительным результатом);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л) составляет проект </w:t>
            </w:r>
            <w:r>
              <w:rPr>
                <w:color w:val="000000"/>
                <w:sz w:val="20"/>
                <w:szCs w:val="20"/>
                <w:shd w:fill="auto" w:val="clear"/>
              </w:rPr>
              <w:t>ПСА</w:t>
            </w:r>
            <w:r>
              <w:rPr>
                <w:rFonts w:cs="Arial"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color w:val="000000"/>
                <w:sz w:val="20"/>
                <w:szCs w:val="20"/>
                <w:shd w:fill="auto" w:val="clear"/>
              </w:rPr>
              <w:t xml:space="preserve">и проект </w:t>
            </w:r>
            <w:r>
              <w:rPr>
                <w:color w:val="000000"/>
                <w:sz w:val="20"/>
                <w:szCs w:val="20"/>
                <w:shd w:fill="auto" w:val="clear"/>
              </w:rPr>
              <w:t>СК;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м)  направляет проект </w:t>
            </w:r>
            <w:r>
              <w:rPr>
                <w:color w:val="000000"/>
                <w:sz w:val="20"/>
                <w:szCs w:val="20"/>
                <w:shd w:fill="auto" w:val="clear"/>
              </w:rPr>
              <w:t xml:space="preserve">СК и ПСА </w:t>
            </w:r>
            <w:r>
              <w:rPr>
                <w:color w:val="000000"/>
                <w:sz w:val="20"/>
                <w:szCs w:val="20"/>
                <w:shd w:fill="auto" w:val="clear"/>
              </w:rPr>
              <w:t xml:space="preserve"> для рассмотрения на заседании  Комиссии</w:t>
            </w: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;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н) приглашает заявителя (членов его семьи при необходимости) на заседание Комиссии </w:t>
            </w: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 Приглашение направляется</w:t>
            </w:r>
            <w:r>
              <w:rPr>
                <w:color w:val="000000"/>
                <w:sz w:val="20"/>
                <w:szCs w:val="20"/>
                <w:shd w:fill="auto" w:val="clear"/>
              </w:rPr>
              <w:t xml:space="preserve">  за два рабочих дня до даты заседания Комиссии;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о) принимает решение о назначении об отказе в назначении </w:t>
            </w:r>
            <w:r>
              <w:rPr>
                <w:color w:val="000000"/>
                <w:sz w:val="20"/>
                <w:szCs w:val="20"/>
                <w:shd w:fill="auto" w:val="clear"/>
              </w:rPr>
              <w:t>услуги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рок направления  уведомления  о принятом решении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 - 10 кал.д.;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 - 30 кал.д. 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не позднее </w:t>
            </w:r>
            <w:r>
              <w:rPr>
                <w:rFonts w:eastAsia="Times New Roman"/>
                <w:color w:val="FF4000"/>
                <w:sz w:val="20"/>
                <w:szCs w:val="20"/>
                <w:shd w:fill="auto" w:val="clear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 xml:space="preserve"> раб.д. со дня принятия решения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ополнительный функционал органа социальной защиты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обеспечивает прохождение заявителями, подавшими заявление  на ИП и ЛПХ                  тестирования, которое проводится с использованием цифровой платформы в информационно-телекоммуникационной сети «Интернет» (https://www.мсп.рф)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shd w:fill="auto" w:val="clear"/>
              </w:rPr>
              <w:t>Порядок прохождения тестирования и оценки результатов такого тестирования, а также формы тестирования, включая вопросы, содержащиеся в таких формах, устанавливаются Министерством экономического развития Российской Федерации по согласованию с Министерством труда и социальной защиты Российской Федерации.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eastAsia="Times New Roman"/>
                <w:i w:val="false"/>
                <w:iCs w:val="false"/>
                <w:color w:val="000000"/>
                <w:sz w:val="20"/>
                <w:szCs w:val="20"/>
              </w:rPr>
              <w:t xml:space="preserve">- содействует в  </w:t>
            </w:r>
            <w:r>
              <w:rPr>
                <w:rFonts w:eastAsia="Times New Roman"/>
                <w:i w:val="false"/>
                <w:iCs w:val="false"/>
                <w:color w:val="000000"/>
                <w:spacing w:val="-12"/>
                <w:sz w:val="20"/>
                <w:szCs w:val="20"/>
              </w:rPr>
              <w:t>прохождении обучения для развития предпринимательских</w:t>
            </w:r>
            <w:r>
              <w:rPr>
                <w:rFonts w:eastAsia="Times New Roman"/>
                <w:i w:val="false"/>
                <w:iCs w:val="false"/>
                <w:color w:val="000000"/>
                <w:spacing w:val="-4"/>
                <w:sz w:val="20"/>
                <w:szCs w:val="20"/>
              </w:rPr>
              <w:t xml:space="preserve"> компетенций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 w:val="false"/>
                <w:iCs w:val="false"/>
                <w:color w:val="000000"/>
                <w:spacing w:val="-4"/>
                <w:sz w:val="20"/>
                <w:szCs w:val="20"/>
              </w:rPr>
              <w:t>- вправе вернуть заявление на доработку (в случае установления факта наличия в заявлении и (или) документах (сведениях), недостоверной и (или) неполной информации (с приостановлением рассмотрения заявления на 5 р.д)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рок заключения СК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sz w:val="20"/>
                <w:u w:val="none"/>
              </w:rPr>
              <w:t>не позднее семи дней со дня подписания программы социальной адаптации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 w:val="false"/>
                <w:bCs w:val="false"/>
                <w:color w:val="FF4000"/>
                <w:sz w:val="20"/>
                <w:szCs w:val="20"/>
              </w:rPr>
              <w:t xml:space="preserve">в день заседания </w:t>
            </w:r>
            <w:r>
              <w:rPr>
                <w:rFonts w:eastAsia="Times New Roman"/>
                <w:b w:val="false"/>
                <w:bCs w:val="false"/>
                <w:color w:val="000000"/>
                <w:sz w:val="20"/>
                <w:szCs w:val="20"/>
              </w:rPr>
              <w:t xml:space="preserve">Комиссии 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внесение изменений в СК и ПСА не связанных с продлением срока СК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  срока реализации мероприятий ПСА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лгоритма действий не было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предусмотрен отдельный алгоритм действий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выплаты  по поиску работы и ТЖС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за неполный месяц размер социального пособия определяется пропорционально количеству календарных дней этого месяца</w:t>
            </w:r>
          </w:p>
          <w:p>
            <w:pPr>
              <w:pStyle w:val="Normal"/>
              <w:spacing w:lineRule="auto" w:line="240"/>
              <w:ind w:left="0" w:hanging="0"/>
              <w:jc w:val="both"/>
              <w:rPr>
                <w:b w:val="false"/>
                <w:b w:val="false"/>
                <w:i w:val="false"/>
                <w:i w:val="false"/>
                <w:strike w:val="false"/>
                <w:dstrike w:val="false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u w:val="none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выплата осуществляется за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полный месяц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независимо от даты заключения СК, даты окончания срока действия СК, даты наступления обстоятельств, в соответствии с которыми производятся такие выплаты 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отчетные документы по ТЖС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jc w:val="both"/>
              <w:rPr/>
            </w:pPr>
            <w:r>
              <w:rPr>
                <w:sz w:val="20"/>
                <w:szCs w:val="20"/>
              </w:rPr>
              <w:t xml:space="preserve">обязательно предоставить </w:t>
            </w: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документы, подтверждающие расходы, </w:t>
            </w:r>
            <w:r>
              <w:rPr>
                <w:b w:val="false"/>
                <w:i w:val="false"/>
                <w:strike w:val="false"/>
                <w:dstrike w:val="false"/>
                <w:sz w:val="20"/>
                <w:u w:val="none"/>
              </w:rPr>
              <w:t>связанные с удовлетворением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 (товарные (кассовые) чеки с указанием наименования товара)</w:t>
            </w:r>
          </w:p>
          <w:p>
            <w:pPr>
              <w:pStyle w:val="Normal"/>
              <w:spacing w:lineRule="auto" w:line="240"/>
              <w:ind w:left="0" w:hanging="0"/>
              <w:jc w:val="both"/>
              <w:rPr>
                <w:b w:val="false"/>
                <w:b w:val="false"/>
                <w:i w:val="false"/>
                <w:i w:val="false"/>
                <w:strike w:val="false"/>
                <w:dstrike w:val="false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u w:val="none"/>
              </w:rPr>
            </w:r>
          </w:p>
          <w:p>
            <w:pPr>
              <w:pStyle w:val="Normal"/>
              <w:spacing w:lineRule="auto" w:line="24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а) документы, подтверждающие расходы, связанные с удовлетворением текущих потребностей граждан в приобретении одежды, обуви,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 (товарные (кассовые) чеки с указанием наименования товара);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б) список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товаров первой необходимости и лекарственных препаратов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 указанных в Перечне товаров, подписанный получателем государственной социальной помощи,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 предоставления  документов, подтверждающих расходы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(в случае получения государственной социальной помощи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ежемесячно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г) документы, 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подтверждающие расходы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связанные с удовлетворением текущих потребностей граждан в приобретении 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товаров первой необходимости,  лекарственных препаратов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(товарные (кассовые) чеки с указанием наименования товара) (в случае получения государственной социальной помощи 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единовременно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основания для  прекращения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а) прекращение трудового договора (увольнение) с получателем государственной социальной помощи в период предоставления социального пособия, предусмотренного абзацем вторым подпункта 1 пункта 5.1 настоящего Положения;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strike w:val="false"/>
                <w:dstrike w:val="false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u w:val="none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strike w:val="false"/>
                <w:dstrike w:val="false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u w:val="none"/>
              </w:rPr>
            </w:r>
            <w:bookmarkStart w:id="0" w:name="Par0"/>
            <w:bookmarkStart w:id="1" w:name="Par0"/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б) прекращение прохождения профессионального обучения или дополнительного профессионального образования в период обучения и предоставления социального пособия, предусмотренного абзацем четвертым подпункта 1 пункта 5.1 настоящего Положения;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в) прекращение индивидуальной предпринимательской деятельности или снятия с учета в качестве налогоплательщика налога на профессиональный доход в период действия социального контракта;</w:t>
            </w:r>
            <w:bookmarkStart w:id="2" w:name="Par2"/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г) неисполнение (несвоевременное исполнение) получателем государственной социальной помощи (членами семьи получателя государственной социальной помощи) мероприятий программы социальной адаптации без уважительных причин, указанных в пункте 4.6 настоящего Положения;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д) использование социального пособия, предусмотренного подпунктом 4 пункта 5.1 настоящего Положения, на иные мероприятия, чем это предусмотрено программой социальной адаптации;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е) представление получателем государственной социальной помощи недостоверной информации о приобретенном товаре (услуге, работах), имущественных обязательств, перечисленных в пункте 5.1 настоящего Положения, и выполнении мероприятий программы социальной адаптации;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ж) непредставление получателем государственной социальной помощи отчета о выполнении программы социальной адаптации в срок, установленный программой социальной адаптации, без уважительных причин, указанных в пункте 4.6 настоящего Положения;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з) выезд семьи получателя государственной социальной помощи (одиноко проживающего получателя государственной социальной помощи) на постоянное место жительства за пределы Приморского края;</w:t>
            </w:r>
            <w:bookmarkStart w:id="3" w:name="Par8"/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и) смерть получателя государственной социальной помощи, вступление в силу решения суда об объявлении его умершим или решения о признании его безвестно отсутствующим;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к) потеря дееспособности получателя государственной социальной помощи;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л) утрата трудоспособности получателя государственной социальной помощи, за исключением граждан, заключивших социальный контракт на реализацию мероприятия, указанного в подпункте "г" пункта 1.7 настоящего Положения;</w:t>
            </w:r>
            <w:bookmarkStart w:id="4" w:name="Par11"/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м) представление получателем государственной социальной помощи при подаче заявления неполных и (или) недостоверных сведений о доходах получателя (членов его семьи);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н) использование социального пособия на иные товары (услуги), чем это предусмотрено абзацем вторым подпункта 2 пункта 5.1 настоящего Положения и программой социальной адаптации;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о) использование социального пособия на иные товары (услуги), сельскохозяйственную продукцию, чем это предусмотрено абзацем вторым подпункта 3 пункта 5.1 настоящего Положения и программой социальной адаптации;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п) невозможность исполнения программы социальной адаптации по мероприятиям, указанным в подпунктах "а" - "в" пункта 1.7 настоящего Положения, по уважительной причине, указанной в подпункте "ж" пункта 4.6 настоящего Положения.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5" w:name="Par0"/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5.14. Получатель государственной социальной помощи обязан извещать в письменной форме структурное подразделение КГКУ о наступлении обстоятельств, указанных в подпунктах "а" - "в", "з", "л" пункта 5.13 настоящего Положения, в течение трех рабочих дней со дня наступления указанных обстоятельств.</w:t>
            </w:r>
            <w:bookmarkEnd w:id="5"/>
            <w:bookmarkEnd w:id="2"/>
            <w:bookmarkEnd w:id="3"/>
            <w:bookmarkEnd w:id="4"/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а) </w:t>
            </w:r>
            <w:r>
              <w:rPr>
                <w:rFonts w:eastAsia="Times New Roman"/>
                <w:color w:val="FF4000"/>
                <w:sz w:val="20"/>
                <w:szCs w:val="20"/>
              </w:rPr>
              <w:t>прекращение осуществления получателем государственной социальной помощи трудовой деятельности в рамках трудового договора (служебного контракта), заключенного в период действия социального контракта (за исключением случая, предусмотренного абзацем вторым подпункта 5 пункта 5.1 настоящих Положения);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б) прекращение прохождения профессионального обучения или дополнительного профессионального образования в период обучения и предоставления социального пособия, предусмотренного абзацем четвертым подпункта 1 пункта 5.1 настоящего Положения;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в) прекращение индивидуальной предпринимательской деятельности или снятия с учета в качестве налогоплательщика налога на профессиональный доход в период действия социального контракта;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г) неисполнение (несвоевременное исполнение) получателем государственной социальной помощи (членами семьи получателя государственной социальной помощи) мероприятий программы социальной адаптации без уважительных причин, указанных в пункте 4.6 настоящего Положения;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д) использование социального пособия, предусмотренного подпунктом 4 пункта 5.1 настоящего Положения, на иные мероприятия, чем это предусмотрено программой социальной адаптации;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е) представление получателем государственной социальной помощи недостоверной информации о приобретенном товаре (услуге, работах), имущественных обязательств, перечисленных в пункте 5.1 настоящего Положения, и выполнении мероприятий программы социальной адаптации;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ж) непредставление получателем государственной социальной помощи отчета о выполнении программы социальной адаптации в срок, установленный программой социальной адаптации, без уважительных причин, указанных в пункте 4.6 настоящего Положения;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з) </w:t>
            </w:r>
            <w:r>
              <w:rPr>
                <w:rFonts w:eastAsia="Times New Roman"/>
                <w:color w:val="FF4000"/>
                <w:sz w:val="20"/>
                <w:szCs w:val="20"/>
                <w:shd w:fill="auto" w:val="clear"/>
              </w:rPr>
              <w:t>переезд  получателя государственной социальной помощи контракта на постоянное место жительства (место пребывания) в другой субъект Российской Федерации</w:t>
            </w:r>
            <w:r>
              <w:rPr>
                <w:rFonts w:eastAsia="Times New Roman"/>
                <w:color w:val="000000"/>
                <w:sz w:val="20"/>
                <w:szCs w:val="20"/>
                <w:shd w:fill="auto" w:val="clear"/>
              </w:rPr>
              <w:t>;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и) </w:t>
            </w:r>
            <w:r>
              <w:rPr>
                <w:rFonts w:eastAsia="Times New Roman"/>
                <w:color w:val="FF4000"/>
                <w:sz w:val="20"/>
                <w:szCs w:val="20"/>
                <w:shd w:fill="auto" w:val="clear"/>
              </w:rPr>
              <w:t>государственная регистрация смерти (объявление умершим, признание безвестно отсутствующим) получателя государственной социальной помощи</w:t>
            </w:r>
            <w:r>
              <w:rPr>
                <w:color w:val="000000"/>
                <w:sz w:val="20"/>
                <w:szCs w:val="20"/>
                <w:shd w:fill="auto" w:val="clear"/>
              </w:rPr>
              <w:t>;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к) </w:t>
            </w:r>
            <w:r>
              <w:rPr>
                <w:rFonts w:eastAsia="Times New Roman"/>
                <w:color w:val="FF4000"/>
                <w:sz w:val="20"/>
                <w:szCs w:val="20"/>
                <w:shd w:fill="auto" w:val="clear"/>
              </w:rPr>
              <w:t>признание судом получателя государственной социальной помощи недееспособным или ограниченно дееспособным</w:t>
            </w:r>
            <w:r>
              <w:rPr>
                <w:color w:val="000000"/>
                <w:sz w:val="20"/>
                <w:szCs w:val="20"/>
                <w:shd w:fill="auto" w:val="clear"/>
              </w:rPr>
              <w:t>;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л) </w:t>
            </w:r>
            <w:r>
              <w:rPr>
                <w:color w:val="FF4000"/>
                <w:sz w:val="20"/>
                <w:szCs w:val="20"/>
              </w:rPr>
              <w:t>утрата трудоспособности получателя государственной социальной помощи, за исключением граждан, заключивших социальный контракт на реализацию мероприятия, указанного в подпункте «г» пункта 1.7 настоящего Положения;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FF4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м)</w:t>
            </w:r>
            <w:r>
              <w:rPr>
                <w:rFonts w:eastAsia="Times New Roman"/>
                <w:color w:val="FF4000"/>
                <w:sz w:val="20"/>
                <w:szCs w:val="20"/>
              </w:rPr>
              <w:t xml:space="preserve"> выявление факта представления получателем государственной социальной помощи документов (сведений), содержащих неполную и (или) недостоверную информацию, если это влечет утрату права на государственную социальную помощь;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н) использование социального пособия на иные товары (услуги), чем это предусмотрено абзацем вторым подпункта 2 пункта 5.1 настоящего Положения и программой социальной адаптации;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о) использование социального пособия на иные товары (услуги), сельскохозяйственную продукцию, чем это предусмотрено абзацем вторым подпункта 3 пункта 5.1 настоящего Положения и программой социальной адаптации;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п) невозможность исполнения программы социальной адаптации по мероприятиям, указанным в подпунктах "а" - "в" пункта 1.7 настоящего Положения, по уважительной причине, указанной в подпункте "ж" пункта 4.6 настоящего Положения.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/>
                <w:color w:val="158466"/>
                <w:sz w:val="20"/>
                <w:szCs w:val="20"/>
              </w:rPr>
            </w:pPr>
            <w:r>
              <w:rPr>
                <w:color w:val="158466"/>
                <w:sz w:val="20"/>
                <w:szCs w:val="20"/>
                <w:shd w:fill="auto" w:val="clear"/>
              </w:rPr>
              <w:t xml:space="preserve">р) </w:t>
            </w:r>
            <w:r>
              <w:rPr>
                <w:rFonts w:eastAsia="Times New Roman"/>
                <w:color w:val="158466"/>
                <w:sz w:val="20"/>
                <w:szCs w:val="20"/>
                <w:shd w:fill="auto" w:val="clear"/>
              </w:rPr>
              <w:t>объявление в розыск получателя государственной социальной помощи;</w:t>
            </w:r>
          </w:p>
          <w:p>
            <w:pPr>
              <w:pStyle w:val="Normal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158466"/>
                <w:sz w:val="20"/>
                <w:szCs w:val="20"/>
              </w:rPr>
            </w:pPr>
            <w:r>
              <w:rPr>
                <w:rFonts w:eastAsia="Times New Roman"/>
                <w:color w:val="158466"/>
                <w:sz w:val="20"/>
                <w:szCs w:val="20"/>
                <w:shd w:fill="auto" w:val="clear"/>
              </w:rPr>
              <w:t>с) направление получателя государственной социальной помощи в места лишения свободы для отбытия наказания или применение в его отношении меры пресечения в виде заключения под стражу;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/>
                <w:color w:val="158466"/>
                <w:sz w:val="20"/>
                <w:szCs w:val="20"/>
              </w:rPr>
            </w:pPr>
            <w:r>
              <w:rPr>
                <w:rFonts w:eastAsia="Times New Roman"/>
                <w:b w:val="false"/>
                <w:i w:val="false"/>
                <w:strike w:val="false"/>
                <w:dstrike w:val="false"/>
                <w:color w:val="158466"/>
                <w:spacing w:val="-10"/>
                <w:sz w:val="20"/>
                <w:szCs w:val="20"/>
                <w:u w:val="none"/>
              </w:rPr>
              <w:t xml:space="preserve">т) направление получателя государственной социальной помощи </w:t>
            </w:r>
            <w:r>
              <w:rPr>
                <w:rFonts w:eastAsia="Times New Roman"/>
                <w:b w:val="false"/>
                <w:i w:val="false"/>
                <w:strike w:val="false"/>
                <w:dstrike w:val="false"/>
                <w:color w:val="158466"/>
                <w:sz w:val="20"/>
                <w:szCs w:val="20"/>
                <w:u w:val="none"/>
              </w:rPr>
              <w:t>на принудительное лечение по решению суда (</w:t>
            </w:r>
            <w:r>
              <w:rPr>
                <w:rFonts w:eastAsia="Times New Roman"/>
                <w:b w:val="false"/>
                <w:i/>
                <w:iCs/>
                <w:strike w:val="false"/>
                <w:dstrike w:val="false"/>
                <w:color w:val="FF4000"/>
                <w:sz w:val="20"/>
                <w:szCs w:val="20"/>
                <w:u w:val="none"/>
              </w:rPr>
              <w:t>дополнительные основания по 1931)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b/>
                <w:bCs/>
                <w:color w:val="000000"/>
                <w:sz w:val="20"/>
                <w:szCs w:val="20"/>
              </w:rPr>
              <w:t>де заполняем сведения о назначении ГСП по СК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ЕГИССО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360"/>
              <w:ind w:left="0" w:right="0" w:firstLine="709"/>
              <w:jc w:val="center"/>
              <w:rPr>
                <w:color w:val="FF4000"/>
              </w:rPr>
            </w:pPr>
            <w:r>
              <w:rPr>
                <w:rFonts w:eastAsia="Times New Roman"/>
                <w:color w:val="FF4000"/>
                <w:sz w:val="20"/>
                <w:szCs w:val="20"/>
                <w:shd w:fill="auto" w:val="clear"/>
              </w:rPr>
              <w:t>ЕЦЦП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b/>
                <w:bCs/>
                <w:color w:val="000000"/>
                <w:sz w:val="20"/>
                <w:szCs w:val="20"/>
              </w:rPr>
              <w:t>еречень уведомлений для заявителя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1) уведомление об  отказе в приеме заявления и документах</w:t>
            </w:r>
          </w:p>
          <w:p>
            <w:pPr>
              <w:pStyle w:val="Normal"/>
              <w:bidi w:val="0"/>
              <w:spacing w:lineRule="auto" w:line="24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2) уведомление, содержащее перечень необходимых документов, которые заявителю необходимо  донести;</w:t>
            </w:r>
          </w:p>
          <w:p>
            <w:pPr>
              <w:pStyle w:val="Normal"/>
              <w:bidi w:val="0"/>
              <w:spacing w:lineRule="auto" w:line="24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</w:rPr>
              <w:t>3) уведомление о принятом решении в части назначения (отказа в назначении);</w:t>
            </w:r>
          </w:p>
          <w:p>
            <w:pPr>
              <w:pStyle w:val="Normal"/>
              <w:bidi w:val="0"/>
              <w:spacing w:lineRule="auto" w:line="24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</w:rPr>
              <w:t xml:space="preserve">4) уведомление об аннулировании решения по результатам Комиссии;  </w:t>
            </w:r>
          </w:p>
          <w:p>
            <w:pPr>
              <w:pStyle w:val="Normal"/>
              <w:bidi w:val="0"/>
              <w:spacing w:lineRule="auto" w:line="24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5) уведомление </w:t>
            </w:r>
            <w:r>
              <w:rPr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о принятии решения об отказе в продлении срока действия СК и мероприятий ПСА</w:t>
            </w:r>
          </w:p>
          <w:p>
            <w:pPr>
              <w:pStyle w:val="Normal"/>
              <w:bidi w:val="0"/>
              <w:spacing w:lineRule="auto" w:line="24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6) уведомление о прекращении оказания  услуги;</w:t>
            </w: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</w:rPr>
              <w:t xml:space="preserve"> </w:t>
            </w:r>
          </w:p>
          <w:p>
            <w:pPr>
              <w:pStyle w:val="Normal"/>
              <w:bidi w:val="0"/>
              <w:spacing w:lineRule="auto" w:line="24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</w:rPr>
              <w:t>7) уведомление о внесении изменений в СК и ПСА;</w:t>
            </w:r>
          </w:p>
          <w:p>
            <w:pPr>
              <w:pStyle w:val="Normal"/>
              <w:bidi w:val="0"/>
              <w:spacing w:lineRule="auto" w:line="24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</w:rPr>
              <w:t>8) уведомление о возврате средств</w:t>
            </w:r>
          </w:p>
          <w:p>
            <w:pPr>
              <w:pStyle w:val="Normal"/>
              <w:tabs>
                <w:tab w:val="clear" w:pos="720"/>
                <w:tab w:val="left" w:pos="1134" w:leader="none"/>
              </w:tabs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1) уведомление, содержащее перечень необходимых документов (сведений), которые заявитель обязан донести самостоятельно;</w:t>
            </w:r>
          </w:p>
          <w:p>
            <w:pPr>
              <w:pStyle w:val="Normal"/>
              <w:bidi w:val="0"/>
              <w:spacing w:lineRule="auto" w:line="24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</w:rPr>
              <w:t>2) уведомление о продлении срока принятия решения о назначении;</w:t>
            </w:r>
          </w:p>
          <w:p>
            <w:pPr>
              <w:pStyle w:val="Normal"/>
              <w:bidi w:val="0"/>
              <w:spacing w:lineRule="auto" w:line="24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</w:rPr>
              <w:t>3) уведомление о дате заседания ПСА, разработке бизнес-плана;</w:t>
            </w:r>
          </w:p>
          <w:p>
            <w:pPr>
              <w:pStyle w:val="Normal"/>
              <w:bidi w:val="0"/>
              <w:spacing w:lineRule="auto" w:line="24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</w:rPr>
              <w:t>4) уведомление о принятом решении в части назначения (отказа в назначении);</w:t>
            </w:r>
          </w:p>
          <w:p>
            <w:pPr>
              <w:pStyle w:val="Normal"/>
              <w:bidi w:val="0"/>
              <w:spacing w:lineRule="auto" w:line="24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</w:rPr>
              <w:t xml:space="preserve">5) уведомление о перерасчете размера выплаты;  </w:t>
            </w:r>
          </w:p>
          <w:p>
            <w:pPr>
              <w:pStyle w:val="Normal"/>
              <w:bidi w:val="0"/>
              <w:spacing w:lineRule="auto" w:line="24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6) уведомление о прекращении оказания  услуги;</w:t>
            </w: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</w:rPr>
              <w:t xml:space="preserve"> </w:t>
            </w:r>
          </w:p>
          <w:p>
            <w:pPr>
              <w:pStyle w:val="Normal"/>
              <w:bidi w:val="0"/>
              <w:spacing w:lineRule="auto" w:line="24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</w:rPr>
              <w:t>7) уведомление о внесении изменений в СК и ПСА;</w:t>
            </w:r>
          </w:p>
          <w:p>
            <w:pPr>
              <w:pStyle w:val="Normal"/>
              <w:bidi w:val="0"/>
              <w:spacing w:lineRule="auto" w:line="240"/>
              <w:ind w:lef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</w:rPr>
              <w:t>8) уведомление о возврате средств;</w:t>
            </w:r>
          </w:p>
          <w:p>
            <w:pPr>
              <w:pStyle w:val="Normal"/>
              <w:tabs>
                <w:tab w:val="clear" w:pos="720"/>
                <w:tab w:val="left" w:pos="1134" w:leader="none"/>
              </w:tabs>
              <w:bidi w:val="0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color w:val="000000"/>
                <w:spacing w:val="-4"/>
                <w:sz w:val="20"/>
                <w:szCs w:val="20"/>
                <w:u w:val="none"/>
              </w:rPr>
              <w:t>9) уведомление о невозможности зачисления денежных средств на счет по реквизитам, указанным в заявлении о назначении  или заявлении на изменение способа доставки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  <w:szCs w:val="20"/>
              </w:rPr>
              <w:t>форма заявления на отзыв заявления о назначении ГСП по СК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Подавалось в произвольной форме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FF4000"/>
                <w:sz w:val="20"/>
                <w:szCs w:val="20"/>
              </w:rPr>
              <w:t xml:space="preserve">введена отдельная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форма заявления - Приложение № 15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форма  социального контракта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uto" w:line="240"/>
              <w:ind w:left="0" w:right="0" w:hanging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 учетом изменений доработаны Приложение № 4, 6, 7, 9 (с 01.01.2024 заключаем СК по новой форме)</w:t>
            </w:r>
          </w:p>
        </w:tc>
      </w:tr>
      <w:tr>
        <w:trPr/>
        <w:tc>
          <w:tcPr>
            <w:tcW w:w="106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форма заявления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 предоставлении социального пособия </w:t>
            </w:r>
          </w:p>
        </w:tc>
      </w:tr>
      <w:tr>
        <w:trPr/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ind w:left="0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4000"/>
                <w:sz w:val="20"/>
                <w:szCs w:val="20"/>
              </w:rPr>
              <w:t xml:space="preserve">доработана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форма заявления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о предоставлении социального пособия - Приложение № 13 (с учетом  изменений видов расходов на ИП и ЛПХ)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54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695</TotalTime>
  <Application>LibreOffice/6.4.7.2$Linux_X86_64 LibreOffice_project/40$Build-2</Application>
  <Pages>10</Pages>
  <Words>4437</Words>
  <Characters>31550</Characters>
  <CharactersWithSpaces>35931</CharactersWithSpaces>
  <Paragraphs>293</Paragraphs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2023-12-20T14:05:00Z</dcterms:created>
  <dc:creator/>
  <dc:description/>
  <dc:language>ru-RU</dc:language>
  <cp:lastModifiedBy>Викторовна Горбенко Ирина</cp:lastModifiedBy>
  <dcterms:modified xsi:type="dcterms:W3CDTF">2023-12-20T14:20:41Z</dcterms:modified>
  <cp:revision>145</cp:revision>
  <dc:subject/>
  <dc:title>Постановление Правительства Приморского края от 03.03.2020 N 172-пп(ред. от 24.03.2023)"Об утверждении Положения о размерах, условиях, порядке назначения и выплаты государственной социальной помощи на основании социального контракта"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4023.00.50</vt:lpwstr>
  </property>
</Properties>
</file>